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95EBB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895EB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</w:t>
      </w:r>
      <w:r w:rsidR="00856F1A">
        <w:rPr>
          <w:rFonts w:ascii="PT Astra Serif" w:hAnsi="PT Astra Serif"/>
          <w:b/>
        </w:rPr>
        <w:t>в</w:t>
      </w:r>
      <w:r w:rsidR="00856F1A" w:rsidRPr="00856F1A">
        <w:rPr>
          <w:rFonts w:ascii="PT Astra Serif" w:hAnsi="PT Astra Serif"/>
          <w:b/>
        </w:rPr>
        <w:t>ыполнение</w:t>
      </w:r>
      <w:r w:rsidR="00D308B1">
        <w:rPr>
          <w:rFonts w:ascii="PT Astra Serif" w:hAnsi="PT Astra Serif"/>
          <w:b/>
        </w:rPr>
        <w:t xml:space="preserve"> раб</w:t>
      </w:r>
      <w:r w:rsidR="004336E4">
        <w:rPr>
          <w:rFonts w:ascii="PT Astra Serif" w:hAnsi="PT Astra Serif"/>
          <w:b/>
        </w:rPr>
        <w:t>от по ремонту помещений №401</w:t>
      </w:r>
      <w:r w:rsidR="00856F1A" w:rsidRPr="00856F1A">
        <w:rPr>
          <w:rFonts w:ascii="PT Astra Serif" w:hAnsi="PT Astra Serif"/>
          <w:b/>
        </w:rPr>
        <w:t xml:space="preserve"> в здании </w:t>
      </w:r>
      <w:r w:rsidR="00225130">
        <w:rPr>
          <w:rFonts w:ascii="PT Astra Serif" w:hAnsi="PT Astra Serif"/>
          <w:b/>
        </w:rPr>
        <w:t>а</w:t>
      </w:r>
      <w:r w:rsidR="00856F1A" w:rsidRPr="00856F1A">
        <w:rPr>
          <w:rFonts w:ascii="PT Astra Serif" w:hAnsi="PT Astra Serif"/>
          <w:b/>
        </w:rPr>
        <w:t xml:space="preserve">дминистрации города </w:t>
      </w:r>
      <w:proofErr w:type="spellStart"/>
      <w:r w:rsidR="00856F1A" w:rsidRPr="00856F1A">
        <w:rPr>
          <w:rFonts w:ascii="PT Astra Serif" w:hAnsi="PT Astra Serif"/>
          <w:b/>
        </w:rPr>
        <w:t>Югорска</w:t>
      </w:r>
      <w:proofErr w:type="spellEnd"/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43BFF">
        <w:rPr>
          <w:rFonts w:ascii="PT Astra Serif" w:hAnsi="PT Astra Serif"/>
        </w:rPr>
        <w:t>40 лет Победы,11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F57B1A" w:rsidRPr="00F57B1A">
        <w:rPr>
          <w:rFonts w:ascii="PT Astra Serif" w:hAnsi="PT Astra Serif"/>
        </w:rPr>
        <w:t>с даты заключения</w:t>
      </w:r>
      <w:proofErr w:type="gramEnd"/>
      <w:r w:rsidR="00F57B1A" w:rsidRPr="00F57B1A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F57B1A">
        <w:rPr>
          <w:rFonts w:ascii="PT Astra Serif" w:hAnsi="PT Astra Serif"/>
        </w:rPr>
        <w:t xml:space="preserve">по </w:t>
      </w:r>
      <w:r w:rsidR="00A235FF">
        <w:rPr>
          <w:rFonts w:ascii="PT Astra Serif" w:hAnsi="PT Astra Serif"/>
        </w:rPr>
        <w:t xml:space="preserve"> </w:t>
      </w:r>
      <w:r w:rsidR="00F57B1A">
        <w:rPr>
          <w:rFonts w:ascii="PT Astra Serif" w:hAnsi="PT Astra Serif"/>
        </w:rPr>
        <w:t>15</w:t>
      </w:r>
      <w:r w:rsidR="00A235FF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11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D308B1">
        <w:rPr>
          <w:rFonts w:ascii="PT Astra Serif" w:hAnsi="PT Astra Serif"/>
        </w:rPr>
        <w:t>15</w:t>
      </w:r>
      <w:r w:rsidR="00220B6D" w:rsidRPr="003C6779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12</w:t>
      </w:r>
      <w:r w:rsidR="00F57B1A">
        <w:rPr>
          <w:rFonts w:ascii="PT Astra Serif" w:hAnsi="PT Astra Serif"/>
        </w:rPr>
        <w:t>.2024.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>ческого задания, действующим 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F17449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F17449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="00F17449">
        <w:rPr>
          <w:rFonts w:ascii="PT Astra Serif" w:hAnsi="PT Astra Serif"/>
        </w:rPr>
        <w:t xml:space="preserve">производства работ </w:t>
      </w:r>
      <w:r w:rsidRPr="00BB2A71">
        <w:rPr>
          <w:rFonts w:ascii="PT Astra Serif" w:hAnsi="PT Astra Serif"/>
        </w:rPr>
        <w:t>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 xml:space="preserve">технические паспорта, инструкции по эксплуатации и соответствовать требованиям действующего законодательства. </w:t>
      </w:r>
      <w:r w:rsidRPr="00BB2A71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73EF4" w:rsidRDefault="00273EF4" w:rsidP="00273EF4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620"/>
        <w:gridCol w:w="3220"/>
        <w:gridCol w:w="800"/>
        <w:gridCol w:w="1340"/>
        <w:gridCol w:w="920"/>
        <w:gridCol w:w="2120"/>
        <w:gridCol w:w="2020"/>
      </w:tblGrid>
      <w:tr w:rsidR="00D308B1" w:rsidRPr="00D308B1" w:rsidTr="00D308B1">
        <w:trPr>
          <w:trHeight w:val="756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-52"/>
              <w:tblW w:w="10505" w:type="dxa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3220"/>
              <w:gridCol w:w="800"/>
              <w:gridCol w:w="1340"/>
              <w:gridCol w:w="920"/>
              <w:gridCol w:w="1426"/>
              <w:gridCol w:w="1559"/>
            </w:tblGrid>
            <w:tr w:rsidR="006C0CB5" w:rsidRPr="00522057" w:rsidTr="006C0CB5">
              <w:trPr>
                <w:trHeight w:val="690"/>
              </w:trPr>
              <w:tc>
                <w:tcPr>
                  <w:tcW w:w="105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lang w:eastAsia="ru-RU"/>
                    </w:rPr>
                    <w:t>Выполнение работ по ремонту помещения № 401 в здании Администрации</w:t>
                  </w:r>
                  <w:r w:rsidRPr="0052205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lang w:eastAsia="ru-RU"/>
                    </w:rPr>
                    <w:br/>
                    <w:t xml:space="preserve">в городе </w:t>
                  </w:r>
                  <w:proofErr w:type="spellStart"/>
                  <w:r w:rsidRPr="0052205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lang w:eastAsia="ru-RU"/>
                    </w:rPr>
                    <w:t>Югорске</w:t>
                  </w:r>
                  <w:proofErr w:type="spellEnd"/>
                </w:p>
              </w:tc>
            </w:tr>
            <w:tr w:rsidR="006C0CB5" w:rsidRPr="00522057" w:rsidTr="006C0CB5">
              <w:trPr>
                <w:trHeight w:val="19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Calibri" w:hAnsi="Calibri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6C0CB5" w:rsidRPr="00522057" w:rsidTr="006C0CB5">
              <w:trPr>
                <w:trHeight w:val="72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№ в ЛСР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Ед.</w:t>
                  </w: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br/>
                    <w:t>изм.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Кол-во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Ссылки на чертежи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Формула расчёта, расчёт объёмов работ и расхода материалов</w:t>
                  </w:r>
                </w:p>
              </w:tc>
            </w:tr>
            <w:tr w:rsidR="006C0CB5" w:rsidRPr="00522057" w:rsidTr="006C0CB5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6C0CB5" w:rsidRPr="00522057" w:rsidTr="006C0CB5">
              <w:trPr>
                <w:trHeight w:val="288"/>
              </w:trPr>
              <w:tc>
                <w:tcPr>
                  <w:tcW w:w="1050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Раздел 1. Демонтажные работы</w:t>
                  </w:r>
                </w:p>
              </w:tc>
            </w:tr>
            <w:tr w:rsidR="006C0CB5" w:rsidRPr="00522057" w:rsidTr="006C0CB5">
              <w:trPr>
                <w:trHeight w:val="28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Снятие обоев: простых и улучшенных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54,88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288"/>
              </w:trPr>
              <w:tc>
                <w:tcPr>
                  <w:tcW w:w="1050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Раздел 2. Отделочные работы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Покрытие поверхностей грунтовкой глубокого проникновения: за 1 раз стен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54,88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Состав грунтовочный глубокого проникновения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кг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5,65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81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Третья шпатлевка при высококачественной окраске по штукатурке и сборным конструкциям: стен, подготовленных под окраску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54,88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3.1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D769D8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Шпаклевка полимерная</w:t>
                  </w:r>
                  <w:r w:rsidR="006C0CB5"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, финишная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кг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65,86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6C0CB5">
                  <w:pPr>
                    <w:tabs>
                      <w:tab w:val="center" w:pos="605"/>
                      <w:tab w:val="right" w:pos="1210"/>
                    </w:tabs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ab/>
                  </w: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1,2*54,88 </w:t>
                  </w:r>
                </w:p>
              </w:tc>
            </w:tr>
            <w:tr w:rsidR="006C0CB5" w:rsidRPr="00522057" w:rsidTr="006C0CB5">
              <w:trPr>
                <w:trHeight w:val="6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Оклейка обоями стен по монолитной штукатурке и бетону: простыми и средней плотности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54,88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4.1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Обои виниловые на </w:t>
                  </w:r>
                  <w:proofErr w:type="spell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флизелиновой</w:t>
                  </w:r>
                  <w:proofErr w:type="spellEnd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 основе, рельефные, под покраску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62,01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816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Окраска поливинилацетатными водоэмульсионными составами простая по штукатурке и сборным конструкциям: стен, подготовленным под окраску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м</w:t>
                  </w:r>
                  <w:proofErr w:type="gram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54,88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5.1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Краска водно-дисперсионная </w:t>
                  </w:r>
                  <w:proofErr w:type="spellStart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акрилатная</w:t>
                  </w:r>
                  <w:proofErr w:type="spellEnd"/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 ВД-АК-201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0,02854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6C0CB5" w:rsidRPr="00522057" w:rsidTr="006C0CB5">
              <w:trPr>
                <w:trHeight w:val="288"/>
              </w:trPr>
              <w:tc>
                <w:tcPr>
                  <w:tcW w:w="1050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Раздел 3. Очистка помещения от строительного мусора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Очистка помещений от строительного мусора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0,01646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C0CB5" w:rsidRPr="00522057" w:rsidTr="006C0CB5">
              <w:trPr>
                <w:trHeight w:val="408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Затаривание строительного мусора в мешки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0,01646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righ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C0CB5" w:rsidRPr="00522057" w:rsidRDefault="006C0CB5" w:rsidP="00376B37">
                  <w:pPr>
                    <w:suppressAutoHyphens w:val="0"/>
                    <w:spacing w:after="0"/>
                    <w:jc w:val="left"/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</w:pPr>
                  <w:r w:rsidRPr="00522057">
                    <w:rPr>
                      <w:rFonts w:ascii="Arial" w:hAnsi="Arial" w:cs="Arial"/>
                      <w:color w:val="000000"/>
                      <w:kern w:val="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</w:tbl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D308B1" w:rsidRPr="00D308B1" w:rsidTr="00D308B1">
        <w:trPr>
          <w:trHeight w:val="1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олняемых работ указан в локальном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CB12E2">
        <w:rPr>
          <w:rFonts w:ascii="PT Astra Serif" w:eastAsia="Calibri" w:hAnsi="PT Astra Serif"/>
          <w:bCs/>
          <w:kern w:val="0"/>
          <w:lang w:eastAsia="ru-RU"/>
        </w:rPr>
        <w:t>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Default="00885AED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Pr="00885AED" w:rsidRDefault="00885AED" w:rsidP="00885AED">
      <w:pPr>
        <w:pStyle w:val="Standard"/>
        <w:spacing w:before="120"/>
        <w:ind w:firstLine="567"/>
        <w:rPr>
          <w:rFonts w:ascii="PT Astra Serif" w:hAnsi="PT Astra Serif"/>
          <w:lang w:val="ru-RU"/>
        </w:rPr>
        <w:sectPr w:rsidR="00885AED" w:rsidRPr="00885AED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PT Astra Serif" w:hAnsi="PT Astra Serif"/>
          <w:i/>
          <w:lang w:val="ru-RU"/>
        </w:rPr>
        <w:t xml:space="preserve">     </w:t>
      </w:r>
      <w:r w:rsidRPr="00885AED">
        <w:rPr>
          <w:rFonts w:ascii="PT Astra Serif" w:hAnsi="PT Astra Serif"/>
          <w:lang w:val="ru-RU"/>
        </w:rPr>
        <w:t xml:space="preserve">Заведующий по АХР                              </w:t>
      </w:r>
      <w:r w:rsidR="00244FEB">
        <w:rPr>
          <w:rFonts w:ascii="PT Astra Serif" w:hAnsi="PT Astra Serif"/>
          <w:lang w:val="ru-RU"/>
        </w:rPr>
        <w:t xml:space="preserve">                                              </w:t>
      </w:r>
      <w:r w:rsidRPr="00885AED">
        <w:rPr>
          <w:rFonts w:ascii="PT Astra Serif" w:hAnsi="PT Astra Serif"/>
          <w:lang w:val="ru-RU"/>
        </w:rPr>
        <w:t xml:space="preserve">       Д.В. Питиримов</w:t>
      </w:r>
    </w:p>
    <w:p w:rsidR="00244FEB" w:rsidRDefault="00244FEB" w:rsidP="00244FEB">
      <w:pPr>
        <w:spacing w:after="0"/>
        <w:jc w:val="right"/>
        <w:rPr>
          <w:rFonts w:ascii="PT Astra Serif" w:hAnsi="PT Astra Serif"/>
          <w:b/>
        </w:rPr>
      </w:pPr>
      <w:bookmarkStart w:id="0" w:name="RANGE!A1"/>
      <w:bookmarkEnd w:id="0"/>
      <w:r>
        <w:rPr>
          <w:rFonts w:ascii="PT Astra Serif" w:hAnsi="PT Astra Serif"/>
          <w:b/>
        </w:rPr>
        <w:lastRenderedPageBreak/>
        <w:t>Приложение к описанию объекта закупки</w:t>
      </w:r>
    </w:p>
    <w:p w:rsidR="0048038F" w:rsidRDefault="00B72BE5" w:rsidP="00EA29BC">
      <w:pPr>
        <w:spacing w:after="0"/>
        <w:jc w:val="center"/>
        <w:rPr>
          <w:rFonts w:ascii="PT Astra Serif" w:hAnsi="PT Astra Serif"/>
          <w:b/>
        </w:rPr>
      </w:pPr>
      <w:bookmarkStart w:id="1" w:name="_GoBack"/>
      <w:bookmarkEnd w:id="1"/>
      <w:r w:rsidRPr="00B72BE5">
        <w:rPr>
          <w:rFonts w:ascii="PT Astra Serif" w:hAnsi="PT Astra Serif"/>
          <w:b/>
        </w:rPr>
        <w:t>ЛОКАЛЬНЫЙ СМЕТНЫЙ РАСЧЕТ (СМЕТА)</w:t>
      </w:r>
    </w:p>
    <w:p w:rsidR="00B72BE5" w:rsidRPr="00570AA2" w:rsidRDefault="00451E7D" w:rsidP="00821B54">
      <w:pPr>
        <w:spacing w:after="0"/>
        <w:jc w:val="center"/>
        <w:rPr>
          <w:rFonts w:ascii="PT Astra Serif" w:hAnsi="PT Astra Serif"/>
          <w:b/>
        </w:rPr>
      </w:pPr>
      <w:r w:rsidRPr="00451E7D">
        <w:rPr>
          <w:rFonts w:ascii="PT Astra Serif" w:hAnsi="PT Astra Serif"/>
          <w:b/>
        </w:rPr>
        <w:t>Выполнение работ по ремонту по</w:t>
      </w:r>
      <w:r w:rsidR="004336E4">
        <w:rPr>
          <w:rFonts w:ascii="PT Astra Serif" w:hAnsi="PT Astra Serif"/>
          <w:b/>
        </w:rPr>
        <w:t>мещения №401</w:t>
      </w:r>
      <w:r w:rsidRPr="00451E7D">
        <w:rPr>
          <w:rFonts w:ascii="PT Astra Serif" w:hAnsi="PT Astra Serif"/>
          <w:b/>
        </w:rPr>
        <w:t xml:space="preserve"> в здании Администрации города </w:t>
      </w:r>
      <w:proofErr w:type="spellStart"/>
      <w:r w:rsidRPr="00451E7D">
        <w:rPr>
          <w:rFonts w:ascii="PT Astra Serif" w:hAnsi="PT Astra Serif"/>
          <w:b/>
        </w:rPr>
        <w:t>Югорска</w:t>
      </w:r>
      <w:proofErr w:type="spellEnd"/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5"/>
        <w:gridCol w:w="1464"/>
        <w:gridCol w:w="3535"/>
        <w:gridCol w:w="878"/>
        <w:gridCol w:w="878"/>
        <w:gridCol w:w="1158"/>
        <w:gridCol w:w="1201"/>
        <w:gridCol w:w="1217"/>
        <w:gridCol w:w="847"/>
        <w:gridCol w:w="1217"/>
        <w:gridCol w:w="1158"/>
        <w:gridCol w:w="1217"/>
      </w:tblGrid>
      <w:tr w:rsidR="001236AB" w:rsidRPr="001236AB" w:rsidTr="001236AB">
        <w:trPr>
          <w:trHeight w:val="288"/>
        </w:trPr>
        <w:tc>
          <w:tcPr>
            <w:tcW w:w="764" w:type="dxa"/>
            <w:vMerge w:val="restart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563" w:type="dxa"/>
            <w:vMerge w:val="restart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Обоснование</w:t>
            </w:r>
          </w:p>
        </w:tc>
        <w:tc>
          <w:tcPr>
            <w:tcW w:w="3799" w:type="dxa"/>
            <w:vMerge w:val="restart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738" w:type="dxa"/>
            <w:vMerge w:val="restart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839" w:type="dxa"/>
            <w:gridSpan w:val="3"/>
            <w:vMerge w:val="restart"/>
            <w:hideMark/>
          </w:tcPr>
          <w:p w:rsidR="001236AB" w:rsidRPr="001236AB" w:rsidRDefault="001236AB" w:rsidP="001236AB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Количество</w:t>
            </w:r>
          </w:p>
        </w:tc>
        <w:tc>
          <w:tcPr>
            <w:tcW w:w="5792" w:type="dxa"/>
            <w:gridSpan w:val="5"/>
            <w:vMerge w:val="restart"/>
            <w:hideMark/>
          </w:tcPr>
          <w:p w:rsidR="001236AB" w:rsidRPr="001236AB" w:rsidRDefault="001236AB" w:rsidP="001236AB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Сметная стоимость, руб.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3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792" w:type="dxa"/>
            <w:gridSpan w:val="5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36AB" w:rsidRPr="001236AB" w:rsidTr="001236AB">
        <w:trPr>
          <w:trHeight w:val="408"/>
        </w:trPr>
        <w:tc>
          <w:tcPr>
            <w:tcW w:w="764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63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на единицу измерения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на единицу измерения в базисном уровне цен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индекс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на единицу измерения в текущем уровне цен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всего в текущем уровне цен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563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799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738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84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031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0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</w:tr>
      <w:tr w:rsidR="001236AB" w:rsidRPr="001236AB" w:rsidTr="001236AB">
        <w:trPr>
          <w:trHeight w:val="288"/>
        </w:trPr>
        <w:tc>
          <w:tcPr>
            <w:tcW w:w="15495" w:type="dxa"/>
            <w:gridSpan w:val="12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Раздел 1. Демонтажные работы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ГЭСНр63-02-001-01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Снятие обоев: простых и улучшенных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Объем=54,88 / 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5,70752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1-100-20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2,0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5,70752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430,59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0,016464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/812-097.0-3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2 236,42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/774-097.0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1 105,92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10 568,40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5 799,94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Итоги по разделу 1 Демонтажные работы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5 799,94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2 236,42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1 105,92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ФОТ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2 457,60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2 236,42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1 105,92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 Итого по разделу 1 Демонтажные работы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5 799,94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 </w:t>
            </w:r>
            <w:proofErr w:type="spell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634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затраты труда рабочих</w:t>
            </w:r>
          </w:p>
        </w:tc>
        <w:tc>
          <w:tcPr>
            <w:tcW w:w="1031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5,70752</w:t>
            </w:r>
          </w:p>
        </w:tc>
        <w:tc>
          <w:tcPr>
            <w:tcW w:w="449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15495" w:type="dxa"/>
            <w:gridSpan w:val="12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Раздел 2. Отделочные работы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ГЭСН15-04-006-03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Объем=54,88 / 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2,55192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1 350,86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1-100-40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4,0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2,55192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1 350,86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3,90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0,010976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5,49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0,36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2,58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3,54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2,91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4,62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4,62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14.3.01.03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Грунтовка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0,0103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0,0056526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1 364,87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1 356,35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1 369,91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664,61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6 194,22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3 399,39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2.1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ФСБЦ-14.3.01.03-0001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Состав грунтовочный глубокого проникновения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5,6526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5,6526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65,84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1,31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86,25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487,54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Объем=(0,0056526)*1000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487,54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3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ГЭСН15-04-027-05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Объем=54,88 / 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5,98192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3 131,12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1-100-39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3,9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10,9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5,98192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523,43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3 131,12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10,98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0,021952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11,30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0,36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2,58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0,016464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10,62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0,016464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8,72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2 060,17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01.7.17.11-0011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4,4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2,41472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531,44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850,30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2 053,24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0,15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0,08232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6,93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Уд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14.5.11.01-0003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Шпатлевка </w:t>
            </w:r>
            <w:proofErr w:type="spellStart"/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масляно</w:t>
            </w:r>
            <w:proofErr w:type="spellEnd"/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-клеевая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0,029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0,0159152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24 995,33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1,42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35 493,37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564,88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5 213,57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3 142,42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3 173,84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1 539,79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18 088,92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9 927,20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3.1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Прайс-лист</w:t>
            </w:r>
          </w:p>
        </w:tc>
        <w:tc>
          <w:tcPr>
            <w:tcW w:w="3799" w:type="dxa"/>
            <w:hideMark/>
          </w:tcPr>
          <w:p w:rsidR="001236AB" w:rsidRPr="001236AB" w:rsidRDefault="00712B5F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Шпаклевка полимерная</w:t>
            </w:r>
            <w:r w:rsidR="001236AB" w:rsidRPr="001236AB">
              <w:rPr>
                <w:rFonts w:ascii="PT Astra Serif" w:hAnsi="PT Astra Serif"/>
                <w:bCs/>
                <w:sz w:val="16"/>
                <w:szCs w:val="16"/>
              </w:rPr>
              <w:t>, финишная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65,856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65,856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96,50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6 355,10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Объем=1,2*54,88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Цена=579/5/1,2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6 355,10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ГЭСН15-06-001-01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Объем=54,88 / 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16,62864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8 112,61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1-100-33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3,3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30,3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16,62864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487,87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8 112,61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3,90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0,010976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5,49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0,36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2,58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3,54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2,91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1 022,66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01.7.02.10-0005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Бумага ролевая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0,0071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0,0038965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56 758,82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0,98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55 623,64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216,74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01.7.03.01-0001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Вода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35,71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52,14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0,29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01.7.10.17-0141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Пемза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0,24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0,131712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2 507,62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4 012,19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528,45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0,46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14.1.03.01-0001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Клей сухой на основе 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карбоксиметилцеллюлозы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 для всех типов обоев, расход 0,004 кг/м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0,002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0,0010976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92 992,31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132 049,08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144,94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14.5.11.01-0001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Шпатлевка клеевая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0,0067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0,003677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25 237,94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35 837,87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131,78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01.6.02.01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Обои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100 м</w:t>
            </w:r>
            <w:proofErr w:type="gramStart"/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1,13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0,620144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9 144,66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8 118,10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8 199,28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3 977,87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38 851,69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21 321,81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4.1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ФСБЦ-01.6.02.01-0017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Обои виниловые на </w:t>
            </w:r>
            <w:proofErr w:type="spell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основе, рельефные, под покраску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м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62,0144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62,0144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51,79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1,28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66,29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4 110,93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Объем=(0,620144)*100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4 110,93</w:t>
            </w:r>
          </w:p>
        </w:tc>
      </w:tr>
      <w:tr w:rsidR="001236AB" w:rsidRPr="001236AB" w:rsidTr="001236AB">
        <w:trPr>
          <w:trHeight w:val="636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ГЭСН15-04-005-01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Окраска поливинилацетатными водоэмульсионными составами простая по штукатурке и сборным конструкциям: стен, подготовленным под окраску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Объем=54,88 / 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7,57344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3 739,76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1-100-34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3,4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13,8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7,57344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493,80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3 739,76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28,69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0,049392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25,82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0,36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2,58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0,043904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28,33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0,043904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23,24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242,95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01.7.17.11-0011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0,16464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531,44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850,30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139,99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0,05488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4,62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14.5.11.01-0001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Шпатлевка клеевая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0,005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0,002744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25 237,94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35 837,87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98,34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14.3.02.01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Краска водоэмульсионная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0,052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0,0285376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4 037,22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3 765,58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3 803,24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1 845,13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17 648,67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9 685,59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5.1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ФСБЦ-14.3.02.01-0381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Краска водно-дисперсионная </w:t>
            </w:r>
            <w:proofErr w:type="spell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акрилатная</w:t>
            </w:r>
            <w:proofErr w:type="spellEnd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ВД-АК-201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0,0285376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0,0285376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64 105,10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1,76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112 824,98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3 219,75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3 219,75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Итоги по разделу 2 Отделочные работы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33 933,64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16 334,35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47,47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48,10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17 503,72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58 507,31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16 334,35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47,47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48,10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17 503,72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16 546,27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8 027,40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ФОТ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16 382,45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16 546,27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8 027,40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 Итого по разделу 2 Отделочные работы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58 507,31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 </w:t>
            </w:r>
            <w:proofErr w:type="spell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634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затраты труда рабочих</w:t>
            </w:r>
          </w:p>
        </w:tc>
        <w:tc>
          <w:tcPr>
            <w:tcW w:w="1031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32,73592</w:t>
            </w:r>
          </w:p>
        </w:tc>
        <w:tc>
          <w:tcPr>
            <w:tcW w:w="449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634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затраты труда машинистов</w:t>
            </w:r>
          </w:p>
        </w:tc>
        <w:tc>
          <w:tcPr>
            <w:tcW w:w="1031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0,093296</w:t>
            </w:r>
          </w:p>
        </w:tc>
        <w:tc>
          <w:tcPr>
            <w:tcW w:w="449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15495" w:type="dxa"/>
            <w:gridSpan w:val="12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Раздел 3. Очистка помещения от строительного мусора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6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ГЭСНр69-01-009-01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Очистка помещений от строительного мусора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100 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0,0001646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0,0001646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68" w:type="dxa"/>
            <w:gridSpan w:val="10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Объем=(0,016464) / 100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0,0309448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12,33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1-100-11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1,1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188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0,0309448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398,60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12,33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lastRenderedPageBreak/>
              <w:t>Н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0,01646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1236AB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12,33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12,33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/812-103.0-3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 xml:space="preserve"> П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рочие ремонтно-строительные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11,47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/774-103.0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 xml:space="preserve"> П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рочие ремонтно-строительные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5,43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177 582,02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29,23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7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ГЭСНр69-01-015-01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Затаривание строительного мусора в мешки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т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0,01646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0,01646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0,0169538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6,70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1-100-10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Средний разряд работы 1,0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1,03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0,0169538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395,04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6,70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9,03</w:t>
            </w:r>
          </w:p>
        </w:tc>
      </w:tr>
      <w:tr w:rsidR="001236AB" w:rsidRPr="001236AB" w:rsidTr="001236AB">
        <w:trPr>
          <w:trHeight w:val="432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01.7.20.03-0003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0,2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0,003292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1 828,55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2 742,83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9,03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15,73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6,70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/812-103.0-3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НР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 xml:space="preserve"> П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рочие ремонтно-строительные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93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6,23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/774-103.0</w:t>
            </w: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СП</w:t>
            </w:r>
            <w:proofErr w:type="gramStart"/>
            <w:r w:rsidRPr="001236AB">
              <w:rPr>
                <w:rFonts w:ascii="PT Astra Serif" w:hAnsi="PT Astra Serif"/>
                <w:sz w:val="16"/>
                <w:szCs w:val="16"/>
              </w:rPr>
              <w:t xml:space="preserve"> П</w:t>
            </w:r>
            <w:proofErr w:type="gramEnd"/>
            <w:r w:rsidRPr="001236AB">
              <w:rPr>
                <w:rFonts w:ascii="PT Astra Serif" w:hAnsi="PT Astra Serif"/>
                <w:sz w:val="16"/>
                <w:szCs w:val="16"/>
              </w:rPr>
              <w:t>рочие ремонтно-строительные работы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2,95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799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8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4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1 513,37</w:t>
            </w:r>
          </w:p>
        </w:tc>
        <w:tc>
          <w:tcPr>
            <w:tcW w:w="1004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24,91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Итоги по разделу 3 Очистка помещения от строительного мусора</w:t>
            </w:r>
            <w:proofErr w:type="gram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прямые затраты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28,06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19,03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9,03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54,14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19,03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9,03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17,70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8,38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ФОТ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19,03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накладные расходы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17,70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Итого сметная прибыль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8,38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 Итого по разделу 3 Очистка помещения от строительного мусора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54,14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 xml:space="preserve">  </w:t>
            </w:r>
            <w:proofErr w:type="spellStart"/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Справочно</w:t>
            </w:r>
            <w:proofErr w:type="spellEnd"/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634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затраты труда рабочих</w:t>
            </w:r>
          </w:p>
        </w:tc>
        <w:tc>
          <w:tcPr>
            <w:tcW w:w="1031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0,0478986</w:t>
            </w:r>
          </w:p>
        </w:tc>
        <w:tc>
          <w:tcPr>
            <w:tcW w:w="4495" w:type="dxa"/>
            <w:gridSpan w:val="4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Итоги по смете: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Всего прямые затраты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36 419,30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18 810,98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47,47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48,10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17 512,75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64 361,39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18 810,98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47,47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48,10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17 512,75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18 800,39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297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9 141,70</w:t>
            </w: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Всего ФОТ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Всего накладные расходы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Всего сметная прибыль (</w:t>
            </w:r>
            <w:proofErr w:type="spellStart"/>
            <w:r w:rsidRPr="001236AB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1236AB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297" w:type="dxa"/>
            <w:noWrap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 xml:space="preserve">     НДС 20%</w:t>
            </w:r>
          </w:p>
        </w:tc>
        <w:tc>
          <w:tcPr>
            <w:tcW w:w="1297" w:type="dxa"/>
            <w:noWrap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236AB" w:rsidRPr="001236AB" w:rsidTr="001236AB">
        <w:trPr>
          <w:trHeight w:val="288"/>
        </w:trPr>
        <w:tc>
          <w:tcPr>
            <w:tcW w:w="764" w:type="dxa"/>
            <w:noWrap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1236AB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563" w:type="dxa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871" w:type="dxa"/>
            <w:gridSpan w:val="9"/>
            <w:hideMark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1236AB">
              <w:rPr>
                <w:rFonts w:ascii="PT Astra Serif" w:hAnsi="PT Astra Serif"/>
                <w:bCs/>
                <w:sz w:val="16"/>
                <w:szCs w:val="16"/>
              </w:rPr>
              <w:t>ВСЕГО по смете</w:t>
            </w:r>
          </w:p>
        </w:tc>
        <w:tc>
          <w:tcPr>
            <w:tcW w:w="1297" w:type="dxa"/>
            <w:noWrap/>
          </w:tcPr>
          <w:p w:rsidR="001236AB" w:rsidRPr="001236AB" w:rsidRDefault="001236AB" w:rsidP="001236AB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:rsidR="00A04E5B" w:rsidRDefault="00A04E5B" w:rsidP="00821B54">
      <w:pPr>
        <w:spacing w:after="0"/>
        <w:jc w:val="left"/>
        <w:rPr>
          <w:b/>
        </w:rPr>
      </w:pPr>
    </w:p>
    <w:sectPr w:rsidR="00A04E5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236AB"/>
    <w:rsid w:val="0013290F"/>
    <w:rsid w:val="00143BFF"/>
    <w:rsid w:val="001549BB"/>
    <w:rsid w:val="00166FA5"/>
    <w:rsid w:val="00167F1D"/>
    <w:rsid w:val="001C66F7"/>
    <w:rsid w:val="001D15AC"/>
    <w:rsid w:val="001F133D"/>
    <w:rsid w:val="00207133"/>
    <w:rsid w:val="00220B6D"/>
    <w:rsid w:val="00225130"/>
    <w:rsid w:val="00231465"/>
    <w:rsid w:val="00244FEB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401DB1"/>
    <w:rsid w:val="00415DB3"/>
    <w:rsid w:val="004336E4"/>
    <w:rsid w:val="00446096"/>
    <w:rsid w:val="00451E7D"/>
    <w:rsid w:val="0047558A"/>
    <w:rsid w:val="0048038F"/>
    <w:rsid w:val="004B7D88"/>
    <w:rsid w:val="004D433D"/>
    <w:rsid w:val="004E710E"/>
    <w:rsid w:val="00502823"/>
    <w:rsid w:val="0051387F"/>
    <w:rsid w:val="00522057"/>
    <w:rsid w:val="00570AA2"/>
    <w:rsid w:val="005A5646"/>
    <w:rsid w:val="005F2913"/>
    <w:rsid w:val="006113A4"/>
    <w:rsid w:val="00625981"/>
    <w:rsid w:val="0063681C"/>
    <w:rsid w:val="00645D56"/>
    <w:rsid w:val="006741AC"/>
    <w:rsid w:val="006C0CB5"/>
    <w:rsid w:val="006C4413"/>
    <w:rsid w:val="007040A7"/>
    <w:rsid w:val="00712B5F"/>
    <w:rsid w:val="00753B85"/>
    <w:rsid w:val="00756017"/>
    <w:rsid w:val="00756EC6"/>
    <w:rsid w:val="00757E69"/>
    <w:rsid w:val="00784D30"/>
    <w:rsid w:val="007B48B3"/>
    <w:rsid w:val="00821B54"/>
    <w:rsid w:val="00835539"/>
    <w:rsid w:val="00844D7C"/>
    <w:rsid w:val="008538DD"/>
    <w:rsid w:val="0085464C"/>
    <w:rsid w:val="00856F1A"/>
    <w:rsid w:val="008832B1"/>
    <w:rsid w:val="00885AED"/>
    <w:rsid w:val="00890CDC"/>
    <w:rsid w:val="00895EBB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233D"/>
    <w:rsid w:val="00A04E5B"/>
    <w:rsid w:val="00A205C8"/>
    <w:rsid w:val="00A20B83"/>
    <w:rsid w:val="00A235FF"/>
    <w:rsid w:val="00A375BE"/>
    <w:rsid w:val="00A66270"/>
    <w:rsid w:val="00A90652"/>
    <w:rsid w:val="00A9714B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08B1"/>
    <w:rsid w:val="00D31EBF"/>
    <w:rsid w:val="00D401F5"/>
    <w:rsid w:val="00D769D8"/>
    <w:rsid w:val="00D83F81"/>
    <w:rsid w:val="00D9188F"/>
    <w:rsid w:val="00D961A0"/>
    <w:rsid w:val="00DC7D01"/>
    <w:rsid w:val="00E06D8D"/>
    <w:rsid w:val="00E1171F"/>
    <w:rsid w:val="00E1561C"/>
    <w:rsid w:val="00E3255A"/>
    <w:rsid w:val="00E51714"/>
    <w:rsid w:val="00EA29BC"/>
    <w:rsid w:val="00EC23D3"/>
    <w:rsid w:val="00EC79EC"/>
    <w:rsid w:val="00EE5787"/>
    <w:rsid w:val="00F17449"/>
    <w:rsid w:val="00F23583"/>
    <w:rsid w:val="00F3323D"/>
    <w:rsid w:val="00F459CF"/>
    <w:rsid w:val="00F57B1A"/>
    <w:rsid w:val="00F96AC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2D31-1807-4C22-8966-3EC842B3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9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Павлова Татьяна Сергеевна</cp:lastModifiedBy>
  <cp:revision>100</cp:revision>
  <cp:lastPrinted>2024-09-06T07:16:00Z</cp:lastPrinted>
  <dcterms:created xsi:type="dcterms:W3CDTF">2020-01-29T05:32:00Z</dcterms:created>
  <dcterms:modified xsi:type="dcterms:W3CDTF">2024-09-06T07:18:00Z</dcterms:modified>
</cp:coreProperties>
</file>